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DC014" w14:textId="77777777" w:rsidR="00E33EE7" w:rsidRPr="001A1B73" w:rsidRDefault="00E33EE7" w:rsidP="00F0210B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</w:rPr>
      </w:pPr>
      <w:proofErr w:type="spellStart"/>
      <w:r w:rsidRPr="001A1B73">
        <w:rPr>
          <w:rFonts w:ascii="Garamond" w:hAnsi="Garamond" w:cstheme="minorHAnsi"/>
          <w:b/>
          <w:iCs/>
          <w:color w:val="538135" w:themeColor="accent6" w:themeShade="BF"/>
          <w:lang w:val="en-GB"/>
        </w:rPr>
        <w:t>ADViSE</w:t>
      </w:r>
      <w:proofErr w:type="spellEnd"/>
      <w:r w:rsidRPr="001A1B73">
        <w:rPr>
          <w:rFonts w:ascii="Garamond" w:hAnsi="Garamond" w:cstheme="minorHAnsi"/>
          <w:i/>
          <w:iCs/>
        </w:rPr>
        <w:t xml:space="preserve">- </w:t>
      </w:r>
      <w:proofErr w:type="spellStart"/>
      <w:r w:rsidRPr="001A1B73">
        <w:rPr>
          <w:rFonts w:ascii="Garamond" w:hAnsi="Garamond" w:cstheme="minorHAnsi"/>
          <w:b/>
          <w:bCs/>
          <w:i/>
          <w:iCs/>
        </w:rPr>
        <w:t>A</w:t>
      </w:r>
      <w:r w:rsidRPr="001A1B73">
        <w:rPr>
          <w:rFonts w:ascii="Garamond" w:hAnsi="Garamond" w:cstheme="minorHAnsi"/>
          <w:i/>
          <w:iCs/>
        </w:rPr>
        <w:t>ntitumor</w:t>
      </w:r>
      <w:proofErr w:type="spellEnd"/>
      <w:r w:rsidRPr="001A1B73">
        <w:rPr>
          <w:rFonts w:ascii="Garamond" w:hAnsi="Garamond" w:cstheme="minorHAnsi"/>
          <w:i/>
          <w:iCs/>
        </w:rPr>
        <w:t xml:space="preserve"> </w:t>
      </w:r>
      <w:proofErr w:type="spellStart"/>
      <w:r w:rsidRPr="001A1B73">
        <w:rPr>
          <w:rFonts w:ascii="Garamond" w:hAnsi="Garamond" w:cstheme="minorHAnsi"/>
          <w:b/>
          <w:bCs/>
          <w:i/>
          <w:iCs/>
        </w:rPr>
        <w:t>D</w:t>
      </w:r>
      <w:r w:rsidRPr="001A1B73">
        <w:rPr>
          <w:rFonts w:ascii="Garamond" w:hAnsi="Garamond" w:cstheme="minorHAnsi"/>
          <w:i/>
          <w:iCs/>
        </w:rPr>
        <w:t>rugs</w:t>
      </w:r>
      <w:proofErr w:type="spellEnd"/>
      <w:r w:rsidRPr="001A1B73">
        <w:rPr>
          <w:rFonts w:ascii="Garamond" w:hAnsi="Garamond" w:cstheme="minorHAnsi"/>
          <w:i/>
          <w:iCs/>
        </w:rPr>
        <w:t xml:space="preserve"> and </w:t>
      </w:r>
      <w:proofErr w:type="spellStart"/>
      <w:r w:rsidRPr="001A1B73">
        <w:rPr>
          <w:rFonts w:ascii="Garamond" w:hAnsi="Garamond" w:cstheme="minorHAnsi"/>
          <w:b/>
          <w:bCs/>
          <w:i/>
          <w:iCs/>
        </w:rPr>
        <w:t>V</w:t>
      </w:r>
      <w:r w:rsidRPr="001A1B73">
        <w:rPr>
          <w:rFonts w:ascii="Garamond" w:hAnsi="Garamond" w:cstheme="minorHAnsi"/>
          <w:i/>
          <w:iCs/>
        </w:rPr>
        <w:t>accines</w:t>
      </w:r>
      <w:proofErr w:type="spellEnd"/>
      <w:r w:rsidRPr="001A1B73">
        <w:rPr>
          <w:rFonts w:ascii="Garamond" w:hAnsi="Garamond" w:cstheme="minorHAnsi"/>
          <w:i/>
          <w:iCs/>
        </w:rPr>
        <w:t xml:space="preserve"> from the </w:t>
      </w:r>
      <w:proofErr w:type="spellStart"/>
      <w:r w:rsidRPr="001A1B73">
        <w:rPr>
          <w:rFonts w:ascii="Garamond" w:hAnsi="Garamond" w:cstheme="minorHAnsi"/>
          <w:b/>
          <w:bCs/>
          <w:i/>
          <w:iCs/>
        </w:rPr>
        <w:t>SE</w:t>
      </w:r>
      <w:r w:rsidRPr="001A1B73">
        <w:rPr>
          <w:rFonts w:ascii="Garamond" w:hAnsi="Garamond" w:cstheme="minorHAnsi"/>
          <w:i/>
          <w:iCs/>
        </w:rPr>
        <w:t>a</w:t>
      </w:r>
      <w:proofErr w:type="spellEnd"/>
    </w:p>
    <w:p w14:paraId="267EAD90" w14:textId="77777777" w:rsidR="00E33EE7" w:rsidRPr="001A1B73" w:rsidRDefault="00E33EE7" w:rsidP="00F0210B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b/>
          <w:bCs/>
          <w:lang w:val="en-GB"/>
        </w:rPr>
      </w:pPr>
    </w:p>
    <w:p w14:paraId="64D52F2C" w14:textId="77777777" w:rsidR="00E33EE7" w:rsidRPr="001A1B73" w:rsidRDefault="00E33EE7" w:rsidP="00F0210B">
      <w:pPr>
        <w:pStyle w:val="Corpotesto"/>
        <w:spacing w:after="0" w:line="360" w:lineRule="auto"/>
        <w:ind w:right="229"/>
        <w:jc w:val="center"/>
        <w:rPr>
          <w:rFonts w:ascii="Garamond" w:hAnsi="Garamond" w:cstheme="minorHAnsi"/>
          <w:b/>
          <w:iCs/>
          <w:caps/>
          <w:color w:val="0070C0"/>
          <w:sz w:val="32"/>
          <w:szCs w:val="32"/>
        </w:rPr>
      </w:pPr>
      <w:r w:rsidRPr="001A1B73">
        <w:rPr>
          <w:rFonts w:ascii="Garamond" w:hAnsi="Garamond" w:cstheme="minorHAnsi"/>
          <w:b/>
          <w:iCs/>
          <w:caps/>
          <w:color w:val="0070C0"/>
          <w:sz w:val="32"/>
          <w:szCs w:val="32"/>
        </w:rPr>
        <w:t>ANALISI DI SCENARIO</w:t>
      </w:r>
    </w:p>
    <w:p w14:paraId="617F9E39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La terapia del tumore è stata storicamente legata al tentativo di </w:t>
      </w:r>
      <w:r w:rsidRPr="001A1B73">
        <w:rPr>
          <w:rFonts w:ascii="Garamond" w:hAnsi="Garamond" w:cstheme="minorHAnsi"/>
          <w:b/>
          <w:bCs/>
        </w:rPr>
        <w:t>fermare la crescita cellulare</w:t>
      </w:r>
      <w:r w:rsidRPr="001A1B73">
        <w:rPr>
          <w:rFonts w:ascii="Garamond" w:hAnsi="Garamond" w:cstheme="minorHAnsi"/>
        </w:rPr>
        <w:t xml:space="preserve"> attraverso sull'uso di sostanze chimiche (chemioterapia) o radiazioni (radioterapia). </w:t>
      </w:r>
    </w:p>
    <w:p w14:paraId="77E5D87B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Nel corso degli anni, la ricerca ha prodotto un numero sempre maggiore di composti chimici in grado di compromettere la funzionalità cellulare, anche se, sin dall'inizio, è stato evidente che q</w:t>
      </w:r>
      <w:bookmarkStart w:id="0" w:name="_GoBack"/>
      <w:bookmarkEnd w:id="0"/>
      <w:r w:rsidRPr="001A1B73">
        <w:rPr>
          <w:rFonts w:ascii="Garamond" w:hAnsi="Garamond" w:cstheme="minorHAnsi"/>
        </w:rPr>
        <w:t xml:space="preserve">ueste molecole </w:t>
      </w:r>
      <w:r w:rsidRPr="001A1B73">
        <w:rPr>
          <w:rFonts w:ascii="Garamond" w:hAnsi="Garamond" w:cstheme="minorHAnsi"/>
          <w:b/>
          <w:bCs/>
        </w:rPr>
        <w:t>non distinguono tra cellule normali e neoplastiche</w:t>
      </w:r>
      <w:r w:rsidRPr="001A1B73">
        <w:rPr>
          <w:rFonts w:ascii="Garamond" w:hAnsi="Garamond" w:cstheme="minorHAnsi"/>
        </w:rPr>
        <w:t xml:space="preserve">, col risultato che anche le cellule normali sono danneggiate, dando vita a effetti collaterali dannosi o perfino letali per il paziente. </w:t>
      </w:r>
    </w:p>
    <w:p w14:paraId="47AED67A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Negli ultimi anni, nuove strade sono state aperte dall'uso di principi attivi diretti verso target specifici delle cellule tumorali o che possono essere veicolati direttamente ed esclusivamente verso le cellule neoplastiche. In questo ambito si collocano i </w:t>
      </w:r>
      <w:r w:rsidRPr="001A1B73">
        <w:rPr>
          <w:rFonts w:ascii="Garamond" w:hAnsi="Garamond" w:cstheme="minorHAnsi"/>
          <w:b/>
          <w:bCs/>
        </w:rPr>
        <w:t>chemioterapici coniugati ad anticorpi monoclonali specifici per le cellule tumorali</w:t>
      </w:r>
      <w:r w:rsidRPr="001A1B73">
        <w:rPr>
          <w:rFonts w:ascii="Garamond" w:hAnsi="Garamond" w:cstheme="minorHAnsi"/>
        </w:rPr>
        <w:t xml:space="preserve"> e in grado di veicolare le sostanze in maniera selettiva verso i bersagli neoplastici (vedi l’anticorpo anti-CD20).</w:t>
      </w:r>
    </w:p>
    <w:p w14:paraId="1966E076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Recentemente, le potenzialità di queste applicazioni si sono ulteriormente accresciute grazie all’opportunità di utilizzare </w:t>
      </w:r>
      <w:r w:rsidRPr="001A1B73">
        <w:rPr>
          <w:rFonts w:ascii="Garamond" w:hAnsi="Garamond" w:cstheme="minorHAnsi"/>
          <w:b/>
          <w:bCs/>
        </w:rPr>
        <w:t>antigeni associati alle cellule tumorali</w:t>
      </w:r>
      <w:r w:rsidRPr="001A1B73">
        <w:rPr>
          <w:rFonts w:ascii="Garamond" w:hAnsi="Garamond" w:cstheme="minorHAnsi"/>
        </w:rPr>
        <w:t xml:space="preserve">, consentendo di aumentare l'efficienza del sistema immunitario nel riconoscere e attaccare le cellule tumorali. </w:t>
      </w:r>
    </w:p>
    <w:p w14:paraId="1ABDD60D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L'</w:t>
      </w:r>
      <w:r w:rsidRPr="001A1B73">
        <w:rPr>
          <w:rFonts w:ascii="Garamond" w:hAnsi="Garamond" w:cstheme="minorHAnsi"/>
          <w:b/>
          <w:bCs/>
        </w:rPr>
        <w:t>interazione tra cancro e sistema immunitario</w:t>
      </w:r>
      <w:r w:rsidRPr="001A1B73">
        <w:rPr>
          <w:rFonts w:ascii="Garamond" w:hAnsi="Garamond" w:cstheme="minorHAnsi"/>
        </w:rPr>
        <w:t xml:space="preserve">, sebbene a lungo poco considerata, è uno dei fattori cruciali nel determinare l’efficacia di trattamenti preventivi e l'esito clinico delle terapie antitumorali. La capacità di </w:t>
      </w:r>
      <w:r w:rsidRPr="001A1B73">
        <w:rPr>
          <w:rFonts w:ascii="Garamond" w:hAnsi="Garamond" w:cstheme="minorHAnsi"/>
          <w:b/>
          <w:bCs/>
        </w:rPr>
        <w:t>migliorare l'immunità antitumorale dell'ospite</w:t>
      </w:r>
      <w:r w:rsidRPr="001A1B73">
        <w:rPr>
          <w:rFonts w:ascii="Garamond" w:hAnsi="Garamond" w:cstheme="minorHAnsi"/>
        </w:rPr>
        <w:t xml:space="preserve"> come parte della terapia del cancro sembra oggi essere un'opzione fattibile, così come la combinazione di chemioterapici citotossici con agenti immunomodulanti potrebbe portare a nuovi schemi terapeutici validi in molti tipi di cancro.</w:t>
      </w:r>
    </w:p>
    <w:p w14:paraId="7FC979A0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In una prima fase, il sistema immunitario elimina la maggior parte delle cellule tumorali, impedendo lo sviluppo delle neoplasie (</w:t>
      </w:r>
      <w:proofErr w:type="spellStart"/>
      <w:r w:rsidRPr="001A1B73">
        <w:rPr>
          <w:rFonts w:ascii="Garamond" w:hAnsi="Garamond" w:cstheme="minorHAnsi"/>
        </w:rPr>
        <w:t>immuno</w:t>
      </w:r>
      <w:proofErr w:type="spellEnd"/>
      <w:r w:rsidRPr="001A1B73">
        <w:rPr>
          <w:rFonts w:ascii="Garamond" w:hAnsi="Garamond" w:cstheme="minorHAnsi"/>
        </w:rPr>
        <w:t xml:space="preserve">-sorveglianza del cancro). </w:t>
      </w:r>
    </w:p>
    <w:p w14:paraId="6F4BE536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In una seconda fase, tumore e sistema immunitario sono in equilibrio, ma le </w:t>
      </w:r>
      <w:r w:rsidRPr="001A1B73">
        <w:rPr>
          <w:rFonts w:ascii="Garamond" w:hAnsi="Garamond" w:cstheme="minorHAnsi"/>
          <w:b/>
          <w:bCs/>
        </w:rPr>
        <w:t xml:space="preserve">cellule neoplastiche </w:t>
      </w:r>
      <w:proofErr w:type="spellStart"/>
      <w:r w:rsidRPr="001A1B73">
        <w:rPr>
          <w:rFonts w:ascii="Garamond" w:hAnsi="Garamond" w:cstheme="minorHAnsi"/>
          <w:b/>
          <w:bCs/>
        </w:rPr>
        <w:t>immuno</w:t>
      </w:r>
      <w:proofErr w:type="spellEnd"/>
      <w:r w:rsidRPr="001A1B73">
        <w:rPr>
          <w:rFonts w:ascii="Garamond" w:hAnsi="Garamond" w:cstheme="minorHAnsi"/>
          <w:b/>
          <w:bCs/>
        </w:rPr>
        <w:t>-resistenti</w:t>
      </w:r>
      <w:r w:rsidRPr="001A1B73">
        <w:rPr>
          <w:rFonts w:ascii="Garamond" w:hAnsi="Garamond" w:cstheme="minorHAnsi"/>
        </w:rPr>
        <w:t>, sopravvissute alla prima fase, iniziano a replicarsi con una serie di mutazioni, genetiche ed epigenetiche, che contribuiscono all’eterogeneità del tumore e alla resistenza all’identificazione da parte del sistema immunitario.</w:t>
      </w:r>
    </w:p>
    <w:p w14:paraId="4DA52CA5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  <w:b/>
          <w:bCs/>
        </w:rPr>
        <w:t xml:space="preserve">Nell’ultima fase </w:t>
      </w:r>
      <w:r w:rsidRPr="001A1B73">
        <w:rPr>
          <w:rFonts w:ascii="Garamond" w:hAnsi="Garamond" w:cstheme="minorHAnsi"/>
        </w:rPr>
        <w:t>le varianti cellulari tumorali selezionate, e virtualmente tutte le cellule tumorali, non sono più riconosciute dal sistema immunitario.</w:t>
      </w:r>
    </w:p>
    <w:p w14:paraId="54AEA2A9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Negli ultimi venti anni, pertanto, grazie a una migliore comprensione dei meccanismi che consentono alle cellule tumorali di eludere il sistema immunitario, la ricerca ha evidenziato che si possono </w:t>
      </w:r>
      <w:r w:rsidRPr="001A1B73">
        <w:rPr>
          <w:rFonts w:ascii="Garamond" w:hAnsi="Garamond" w:cstheme="minorHAnsi"/>
          <w:b/>
          <w:bCs/>
        </w:rPr>
        <w:lastRenderedPageBreak/>
        <w:t>modulare meccanismi cellulari</w:t>
      </w:r>
      <w:r w:rsidRPr="001A1B73">
        <w:rPr>
          <w:rFonts w:ascii="Garamond" w:hAnsi="Garamond" w:cstheme="minorHAnsi"/>
        </w:rPr>
        <w:t xml:space="preserve"> per aumentare la capacità del sistema immunitario di prevenire o aggredire il tumore attraverso due strade:</w:t>
      </w:r>
    </w:p>
    <w:p w14:paraId="4AA31CBD" w14:textId="77777777" w:rsidR="00E33EE7" w:rsidRPr="001A1B73" w:rsidRDefault="00E33EE7" w:rsidP="00F0210B">
      <w:pPr>
        <w:pStyle w:val="Corpotesto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stimolare la risposta immunitaria in maniera aspecifica;</w:t>
      </w:r>
    </w:p>
    <w:p w14:paraId="6E92555A" w14:textId="77777777" w:rsidR="00E33EE7" w:rsidRPr="001A1B73" w:rsidRDefault="00E33EE7" w:rsidP="00F0210B">
      <w:pPr>
        <w:pStyle w:val="Corpotesto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cercare di innescare una risposta specifica verso il tumore.</w:t>
      </w:r>
    </w:p>
    <w:p w14:paraId="7EE13D9A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</w:p>
    <w:p w14:paraId="220529F8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L’idea alla base del progetto </w:t>
      </w:r>
      <w:proofErr w:type="spellStart"/>
      <w:r w:rsidRPr="001A1B73">
        <w:rPr>
          <w:rFonts w:ascii="Garamond" w:hAnsi="Garamond" w:cstheme="minorHAnsi"/>
        </w:rPr>
        <w:t>ADViSE</w:t>
      </w:r>
      <w:proofErr w:type="spellEnd"/>
      <w:r w:rsidRPr="001A1B73">
        <w:rPr>
          <w:rFonts w:ascii="Garamond" w:hAnsi="Garamond" w:cstheme="minorHAnsi"/>
        </w:rPr>
        <w:t xml:space="preserve"> è che </w:t>
      </w:r>
      <w:r w:rsidRPr="001A1B73">
        <w:rPr>
          <w:rFonts w:ascii="Garamond" w:hAnsi="Garamond" w:cstheme="minorHAnsi"/>
          <w:b/>
          <w:bCs/>
        </w:rPr>
        <w:t>specifiche sostanze</w:t>
      </w:r>
      <w:r w:rsidRPr="001A1B73">
        <w:rPr>
          <w:rFonts w:ascii="Garamond" w:hAnsi="Garamond" w:cstheme="minorHAnsi"/>
        </w:rPr>
        <w:t xml:space="preserve"> possano agire a diversi livelli che includono:</w:t>
      </w:r>
    </w:p>
    <w:p w14:paraId="3B27CDA9" w14:textId="77777777" w:rsidR="00E33EE7" w:rsidRPr="001A1B73" w:rsidRDefault="00E33EE7" w:rsidP="00F0210B">
      <w:pPr>
        <w:pStyle w:val="Corpotesto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la </w:t>
      </w:r>
      <w:proofErr w:type="spellStart"/>
      <w:r w:rsidRPr="001A1B73">
        <w:rPr>
          <w:rFonts w:ascii="Garamond" w:hAnsi="Garamond" w:cstheme="minorHAnsi"/>
        </w:rPr>
        <w:t>chemioprevenzione</w:t>
      </w:r>
      <w:proofErr w:type="spellEnd"/>
      <w:r w:rsidRPr="001A1B73">
        <w:rPr>
          <w:rFonts w:ascii="Garamond" w:hAnsi="Garamond" w:cstheme="minorHAnsi"/>
        </w:rPr>
        <w:t>;</w:t>
      </w:r>
    </w:p>
    <w:p w14:paraId="01099993" w14:textId="77777777" w:rsidR="00E33EE7" w:rsidRPr="001A1B73" w:rsidRDefault="00E33EE7" w:rsidP="00F0210B">
      <w:pPr>
        <w:pStyle w:val="Corpotesto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l'efficacia diretta sulle cellule tumorali;</w:t>
      </w:r>
    </w:p>
    <w:p w14:paraId="68555353" w14:textId="77777777" w:rsidR="00E33EE7" w:rsidRPr="001A1B73" w:rsidRDefault="00E33EE7" w:rsidP="00F0210B">
      <w:pPr>
        <w:pStyle w:val="Corpotesto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>la capacità di modificare le interazioni tumore/ospite;</w:t>
      </w:r>
    </w:p>
    <w:p w14:paraId="2C6A7677" w14:textId="77777777" w:rsidR="00E33EE7" w:rsidRPr="001A1B73" w:rsidRDefault="00E33EE7" w:rsidP="00F0210B">
      <w:pPr>
        <w:pStyle w:val="Corpotesto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la possibilità di potenziare una risposta antitumorale specifica </w:t>
      </w:r>
      <w:proofErr w:type="spellStart"/>
      <w:r w:rsidRPr="001A1B73">
        <w:rPr>
          <w:rFonts w:ascii="Garamond" w:hAnsi="Garamond" w:cstheme="minorHAnsi"/>
        </w:rPr>
        <w:t>immuno</w:t>
      </w:r>
      <w:proofErr w:type="spellEnd"/>
      <w:r w:rsidRPr="001A1B73">
        <w:rPr>
          <w:rFonts w:ascii="Garamond" w:hAnsi="Garamond" w:cstheme="minorHAnsi"/>
        </w:rPr>
        <w:t>-mediata come adiuvanti in vaccini.</w:t>
      </w:r>
    </w:p>
    <w:p w14:paraId="0B4F73F9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br/>
        <w:t xml:space="preserve">Le </w:t>
      </w:r>
      <w:r w:rsidRPr="001A1B73">
        <w:rPr>
          <w:rFonts w:ascii="Garamond" w:hAnsi="Garamond" w:cstheme="minorHAnsi"/>
          <w:b/>
          <w:bCs/>
        </w:rPr>
        <w:t xml:space="preserve">sostanze naturali </w:t>
      </w:r>
      <w:r w:rsidRPr="001A1B73">
        <w:rPr>
          <w:rFonts w:ascii="Garamond" w:hAnsi="Garamond" w:cstheme="minorHAnsi"/>
        </w:rPr>
        <w:t xml:space="preserve">presentano una elevata varietà strutturale con “modelli privilegiati”, cioè caratteristiche molecolari adattate all’interazione specifica con i target cellulari e proprietà farmacocinetiche/farmacodinamiche ideali. </w:t>
      </w:r>
    </w:p>
    <w:p w14:paraId="0220C88A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In particolare, nelle sostanze naturali derivate da organismi di origine marina la diversità molecolare nasce da una </w:t>
      </w:r>
      <w:r w:rsidRPr="001A1B73">
        <w:rPr>
          <w:rFonts w:ascii="Garamond" w:hAnsi="Garamond" w:cstheme="minorHAnsi"/>
          <w:b/>
          <w:bCs/>
        </w:rPr>
        <w:t>elevata plasticità metabolica</w:t>
      </w:r>
      <w:r w:rsidRPr="001A1B73">
        <w:rPr>
          <w:rFonts w:ascii="Garamond" w:hAnsi="Garamond" w:cstheme="minorHAnsi"/>
        </w:rPr>
        <w:t xml:space="preserve"> dovuta a una grande varietà di enzimi e geni che si sono sviluppati in seguito a una forte pressione evolutiva dovuta alle peculiari e, spesso estreme condizioni, presenti nell’</w:t>
      </w:r>
      <w:r w:rsidRPr="001A1B73">
        <w:rPr>
          <w:rFonts w:ascii="Garamond" w:hAnsi="Garamond" w:cstheme="minorHAnsi"/>
          <w:b/>
          <w:bCs/>
        </w:rPr>
        <w:t>ambiente marino</w:t>
      </w:r>
      <w:r w:rsidRPr="001A1B73">
        <w:rPr>
          <w:rFonts w:ascii="Garamond" w:hAnsi="Garamond" w:cstheme="minorHAnsi"/>
        </w:rPr>
        <w:t>.</w:t>
      </w:r>
    </w:p>
    <w:p w14:paraId="3EBA08A3" w14:textId="77777777" w:rsidR="00E33EE7" w:rsidRPr="001A1B73" w:rsidRDefault="00E33EE7" w:rsidP="00F0210B">
      <w:pPr>
        <w:pStyle w:val="Corpotesto"/>
        <w:spacing w:after="0" w:line="360" w:lineRule="auto"/>
        <w:ind w:right="229"/>
        <w:jc w:val="both"/>
        <w:rPr>
          <w:rFonts w:ascii="Garamond" w:hAnsi="Garamond" w:cstheme="minorHAnsi"/>
        </w:rPr>
      </w:pPr>
      <w:r w:rsidRPr="001A1B73">
        <w:rPr>
          <w:rFonts w:ascii="Garamond" w:hAnsi="Garamond" w:cstheme="minorHAnsi"/>
        </w:rPr>
        <w:t xml:space="preserve">Su queste premesse si fonda il concept della proposta </w:t>
      </w:r>
      <w:proofErr w:type="spellStart"/>
      <w:r w:rsidRPr="001A1B73">
        <w:rPr>
          <w:rFonts w:ascii="Garamond" w:hAnsi="Garamond" w:cstheme="minorHAnsi"/>
        </w:rPr>
        <w:t>ADViSE</w:t>
      </w:r>
      <w:proofErr w:type="spellEnd"/>
      <w:r w:rsidRPr="001A1B73">
        <w:rPr>
          <w:rFonts w:ascii="Garamond" w:hAnsi="Garamond" w:cstheme="minorHAnsi"/>
        </w:rPr>
        <w:t xml:space="preserve">, ovvero la realizzazione di una piattaforma per </w:t>
      </w:r>
      <w:r w:rsidRPr="001A1B73">
        <w:rPr>
          <w:rFonts w:ascii="Garamond" w:hAnsi="Garamond" w:cstheme="minorHAnsi"/>
          <w:b/>
          <w:bCs/>
        </w:rPr>
        <w:t>scoprire</w:t>
      </w:r>
      <w:r w:rsidRPr="001A1B73">
        <w:rPr>
          <w:rFonts w:ascii="Garamond" w:hAnsi="Garamond" w:cstheme="minorHAnsi"/>
        </w:rPr>
        <w:t xml:space="preserve"> </w:t>
      </w:r>
      <w:r w:rsidRPr="001A1B73">
        <w:rPr>
          <w:rFonts w:ascii="Garamond" w:hAnsi="Garamond" w:cstheme="minorHAnsi"/>
          <w:b/>
          <w:bCs/>
        </w:rPr>
        <w:t xml:space="preserve">piccole molecole di origine marina </w:t>
      </w:r>
      <w:r w:rsidRPr="001A1B73">
        <w:rPr>
          <w:rFonts w:ascii="Garamond" w:hAnsi="Garamond" w:cstheme="minorHAnsi"/>
        </w:rPr>
        <w:t xml:space="preserve">da utilizzare come </w:t>
      </w:r>
      <w:r w:rsidRPr="001A1B73">
        <w:rPr>
          <w:rFonts w:ascii="Garamond" w:hAnsi="Garamond" w:cstheme="minorHAnsi"/>
          <w:b/>
          <w:bCs/>
        </w:rPr>
        <w:t xml:space="preserve">chemioterapici immunogenici, agenti </w:t>
      </w:r>
      <w:proofErr w:type="spellStart"/>
      <w:r w:rsidRPr="001A1B73">
        <w:rPr>
          <w:rFonts w:ascii="Garamond" w:hAnsi="Garamond" w:cstheme="minorHAnsi"/>
          <w:b/>
          <w:bCs/>
        </w:rPr>
        <w:t>chemiopreventivi</w:t>
      </w:r>
      <w:proofErr w:type="spellEnd"/>
      <w:r w:rsidRPr="001A1B73">
        <w:rPr>
          <w:rFonts w:ascii="Garamond" w:hAnsi="Garamond" w:cstheme="minorHAnsi"/>
          <w:b/>
          <w:bCs/>
        </w:rPr>
        <w:t xml:space="preserve"> e vaccini terapeutici contro il cancro</w:t>
      </w:r>
      <w:r w:rsidRPr="001A1B73">
        <w:rPr>
          <w:rFonts w:ascii="Garamond" w:hAnsi="Garamond" w:cstheme="minorHAnsi"/>
        </w:rPr>
        <w:t xml:space="preserve">. </w:t>
      </w:r>
    </w:p>
    <w:p w14:paraId="01EA1908" w14:textId="77777777" w:rsidR="00E33EE7" w:rsidRPr="001A1B73" w:rsidRDefault="00E33EE7" w:rsidP="00F0210B">
      <w:pPr>
        <w:shd w:val="clear" w:color="auto" w:fill="FFFFFF"/>
        <w:spacing w:line="360" w:lineRule="auto"/>
        <w:jc w:val="center"/>
        <w:rPr>
          <w:rFonts w:ascii="Garamond" w:hAnsi="Garamond" w:cstheme="minorHAnsi"/>
          <w:b/>
          <w:bCs/>
          <w:color w:val="00B050"/>
        </w:rPr>
      </w:pPr>
    </w:p>
    <w:p w14:paraId="2E483B84" w14:textId="5C308727" w:rsidR="005F52EF" w:rsidRPr="001A1B73" w:rsidRDefault="005F52EF" w:rsidP="00F0210B">
      <w:pPr>
        <w:spacing w:line="360" w:lineRule="auto"/>
        <w:rPr>
          <w:rFonts w:ascii="Garamond" w:hAnsi="Garamond"/>
        </w:rPr>
      </w:pPr>
    </w:p>
    <w:sectPr w:rsidR="005F52EF" w:rsidRPr="001A1B73" w:rsidSect="008C5409">
      <w:headerReference w:type="default" r:id="rId11"/>
      <w:footerReference w:type="default" r:id="rId12"/>
      <w:pgSz w:w="11906" w:h="16838"/>
      <w:pgMar w:top="1417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7DFAE" w14:textId="77777777" w:rsidR="00D9239A" w:rsidRDefault="00D9239A" w:rsidP="00B63FA2">
      <w:pPr>
        <w:rPr>
          <w:rFonts w:hint="eastAsia"/>
        </w:rPr>
      </w:pPr>
      <w:r>
        <w:separator/>
      </w:r>
    </w:p>
  </w:endnote>
  <w:endnote w:type="continuationSeparator" w:id="0">
    <w:p w14:paraId="4325807B" w14:textId="77777777" w:rsidR="00D9239A" w:rsidRDefault="00D9239A" w:rsidP="00B63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E1C1D" w14:textId="7BB2C3B0" w:rsidR="35FF3805" w:rsidRDefault="35FF3805" w:rsidP="35FF3805">
    <w:pPr>
      <w:pStyle w:val="Pidipagina"/>
      <w:ind w:left="-851" w:hanging="283"/>
      <w:rPr>
        <w:rFonts w:hint="eastAsia"/>
      </w:rPr>
    </w:pPr>
    <w:r>
      <w:rPr>
        <w:noProof/>
      </w:rPr>
      <w:drawing>
        <wp:inline distT="0" distB="0" distL="0" distR="0" wp14:anchorId="7DFF554E" wp14:editId="35DDED7C">
          <wp:extent cx="7797000" cy="906097"/>
          <wp:effectExtent l="0" t="0" r="0" b="8890"/>
          <wp:docPr id="405061984" name="Immagine 405061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9998" cy="96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7F6F9" w14:textId="77777777" w:rsidR="00D9239A" w:rsidRDefault="00D9239A" w:rsidP="00B63FA2">
      <w:pPr>
        <w:rPr>
          <w:rFonts w:hint="eastAsia"/>
        </w:rPr>
      </w:pPr>
      <w:r>
        <w:separator/>
      </w:r>
    </w:p>
  </w:footnote>
  <w:footnote w:type="continuationSeparator" w:id="0">
    <w:p w14:paraId="132B482A" w14:textId="77777777" w:rsidR="00D9239A" w:rsidRDefault="00D9239A" w:rsidP="00B63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0D607" w14:textId="5D4629D9" w:rsidR="00D30FE9" w:rsidRPr="00B63FA2" w:rsidRDefault="006E65F2" w:rsidP="008C5409">
    <w:pPr>
      <w:pStyle w:val="Intestazione"/>
      <w:ind w:left="-567" w:hanging="567"/>
      <w:rPr>
        <w:rFonts w:hint="eastAsia"/>
      </w:rPr>
    </w:pPr>
    <w:r>
      <w:rPr>
        <w:rFonts w:hint="eastAsia"/>
        <w:noProof/>
      </w:rPr>
      <w:drawing>
        <wp:inline distT="0" distB="0" distL="0" distR="0" wp14:anchorId="67C0495D" wp14:editId="3FAE76E4">
          <wp:extent cx="7665152" cy="13014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-Innovery t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152" cy="1301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1EE0369E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23B92555"/>
    <w:multiLevelType w:val="hybridMultilevel"/>
    <w:tmpl w:val="64F0ADA6"/>
    <w:lvl w:ilvl="0" w:tplc="A9C472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ACF6F93"/>
    <w:multiLevelType w:val="hybridMultilevel"/>
    <w:tmpl w:val="CD8C2C7E"/>
    <w:lvl w:ilvl="0" w:tplc="CA7235C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62E22"/>
    <w:multiLevelType w:val="hybridMultilevel"/>
    <w:tmpl w:val="F9A4D21C"/>
    <w:lvl w:ilvl="0" w:tplc="FEE07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EEE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0CF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123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84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2E2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A0D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743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D62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565F52"/>
    <w:multiLevelType w:val="multilevel"/>
    <w:tmpl w:val="3CEC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35430"/>
    <w:multiLevelType w:val="hybridMultilevel"/>
    <w:tmpl w:val="C2EC72B4"/>
    <w:lvl w:ilvl="0" w:tplc="2E8E8E5C">
      <w:numFmt w:val="bullet"/>
      <w:lvlText w:val="-"/>
      <w:lvlJc w:val="left"/>
      <w:pPr>
        <w:ind w:left="927" w:hanging="360"/>
      </w:pPr>
      <w:rPr>
        <w:rFonts w:ascii="Liberation Serif" w:eastAsia="SimSun" w:hAnsi="Liberation Serif" w:cs="Mang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9DB668F"/>
    <w:multiLevelType w:val="hybridMultilevel"/>
    <w:tmpl w:val="A4969B50"/>
    <w:lvl w:ilvl="0" w:tplc="E44A6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82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C61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A6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7EE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7A8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29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49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F89D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4376DBD"/>
    <w:multiLevelType w:val="hybridMultilevel"/>
    <w:tmpl w:val="693A4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44C95"/>
    <w:multiLevelType w:val="hybridMultilevel"/>
    <w:tmpl w:val="4D8EA5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F7EE9"/>
    <w:multiLevelType w:val="multilevel"/>
    <w:tmpl w:val="20FA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F3"/>
    <w:rsid w:val="00001B67"/>
    <w:rsid w:val="00006219"/>
    <w:rsid w:val="000215A0"/>
    <w:rsid w:val="0004440C"/>
    <w:rsid w:val="000457AA"/>
    <w:rsid w:val="00045946"/>
    <w:rsid w:val="0004793C"/>
    <w:rsid w:val="00052EAF"/>
    <w:rsid w:val="000550C2"/>
    <w:rsid w:val="00056A75"/>
    <w:rsid w:val="000710A2"/>
    <w:rsid w:val="00077652"/>
    <w:rsid w:val="00085CAB"/>
    <w:rsid w:val="000B3DA0"/>
    <w:rsid w:val="000C52C1"/>
    <w:rsid w:val="000D6731"/>
    <w:rsid w:val="00103EEC"/>
    <w:rsid w:val="00105913"/>
    <w:rsid w:val="001407FE"/>
    <w:rsid w:val="00141D11"/>
    <w:rsid w:val="00161840"/>
    <w:rsid w:val="00161E33"/>
    <w:rsid w:val="001701B6"/>
    <w:rsid w:val="00170AE5"/>
    <w:rsid w:val="00195174"/>
    <w:rsid w:val="001A1B73"/>
    <w:rsid w:val="001B4056"/>
    <w:rsid w:val="00230ED7"/>
    <w:rsid w:val="00242D11"/>
    <w:rsid w:val="00244E3C"/>
    <w:rsid w:val="00247FED"/>
    <w:rsid w:val="002B24B7"/>
    <w:rsid w:val="002E29E9"/>
    <w:rsid w:val="00300E44"/>
    <w:rsid w:val="00303B05"/>
    <w:rsid w:val="00313464"/>
    <w:rsid w:val="00320542"/>
    <w:rsid w:val="00370A6C"/>
    <w:rsid w:val="00373045"/>
    <w:rsid w:val="003972CB"/>
    <w:rsid w:val="003A44DB"/>
    <w:rsid w:val="003C117A"/>
    <w:rsid w:val="003D586D"/>
    <w:rsid w:val="003E381C"/>
    <w:rsid w:val="00417113"/>
    <w:rsid w:val="00422D0D"/>
    <w:rsid w:val="00433B48"/>
    <w:rsid w:val="004517FB"/>
    <w:rsid w:val="004543F0"/>
    <w:rsid w:val="00461702"/>
    <w:rsid w:val="00481770"/>
    <w:rsid w:val="00481847"/>
    <w:rsid w:val="004B2FA8"/>
    <w:rsid w:val="004D14AF"/>
    <w:rsid w:val="0050040B"/>
    <w:rsid w:val="00525B8A"/>
    <w:rsid w:val="00526AB6"/>
    <w:rsid w:val="00541D0B"/>
    <w:rsid w:val="00554691"/>
    <w:rsid w:val="00590F22"/>
    <w:rsid w:val="005A18F3"/>
    <w:rsid w:val="005C5BF3"/>
    <w:rsid w:val="005D2489"/>
    <w:rsid w:val="005D3104"/>
    <w:rsid w:val="005F52EF"/>
    <w:rsid w:val="00630514"/>
    <w:rsid w:val="00633690"/>
    <w:rsid w:val="00644B71"/>
    <w:rsid w:val="006905A8"/>
    <w:rsid w:val="006B3571"/>
    <w:rsid w:val="006C2015"/>
    <w:rsid w:val="006C68F6"/>
    <w:rsid w:val="006E1E49"/>
    <w:rsid w:val="006E3BD8"/>
    <w:rsid w:val="006E65F2"/>
    <w:rsid w:val="0072303B"/>
    <w:rsid w:val="00736966"/>
    <w:rsid w:val="0074369A"/>
    <w:rsid w:val="007642D7"/>
    <w:rsid w:val="007B1166"/>
    <w:rsid w:val="007B3EEB"/>
    <w:rsid w:val="007D0BC6"/>
    <w:rsid w:val="007D521E"/>
    <w:rsid w:val="008115E2"/>
    <w:rsid w:val="00813C52"/>
    <w:rsid w:val="00817967"/>
    <w:rsid w:val="00826674"/>
    <w:rsid w:val="008647DD"/>
    <w:rsid w:val="00870F8B"/>
    <w:rsid w:val="00882037"/>
    <w:rsid w:val="00886E1C"/>
    <w:rsid w:val="008912CD"/>
    <w:rsid w:val="008A3D5F"/>
    <w:rsid w:val="008C5409"/>
    <w:rsid w:val="008D7A2A"/>
    <w:rsid w:val="008F67B3"/>
    <w:rsid w:val="00957CF6"/>
    <w:rsid w:val="009C2AA6"/>
    <w:rsid w:val="009E4D46"/>
    <w:rsid w:val="009E715F"/>
    <w:rsid w:val="00A1105A"/>
    <w:rsid w:val="00A3643B"/>
    <w:rsid w:val="00A467E5"/>
    <w:rsid w:val="00A473F3"/>
    <w:rsid w:val="00A536B6"/>
    <w:rsid w:val="00A66700"/>
    <w:rsid w:val="00AA299E"/>
    <w:rsid w:val="00AA363B"/>
    <w:rsid w:val="00AA478E"/>
    <w:rsid w:val="00AB6A52"/>
    <w:rsid w:val="00AC7EE4"/>
    <w:rsid w:val="00B117BA"/>
    <w:rsid w:val="00B17554"/>
    <w:rsid w:val="00B41D29"/>
    <w:rsid w:val="00B41FE1"/>
    <w:rsid w:val="00B63FA2"/>
    <w:rsid w:val="00B64678"/>
    <w:rsid w:val="00B72E21"/>
    <w:rsid w:val="00B81397"/>
    <w:rsid w:val="00B814B2"/>
    <w:rsid w:val="00B954ED"/>
    <w:rsid w:val="00BC27BC"/>
    <w:rsid w:val="00BF6588"/>
    <w:rsid w:val="00BF7B8D"/>
    <w:rsid w:val="00C117CF"/>
    <w:rsid w:val="00C12105"/>
    <w:rsid w:val="00C138DA"/>
    <w:rsid w:val="00C25BC3"/>
    <w:rsid w:val="00C344F9"/>
    <w:rsid w:val="00C363CC"/>
    <w:rsid w:val="00C97E23"/>
    <w:rsid w:val="00CC5157"/>
    <w:rsid w:val="00CE4CE0"/>
    <w:rsid w:val="00D14CF1"/>
    <w:rsid w:val="00D23C5D"/>
    <w:rsid w:val="00D25B58"/>
    <w:rsid w:val="00D30FE9"/>
    <w:rsid w:val="00D50B6B"/>
    <w:rsid w:val="00D54678"/>
    <w:rsid w:val="00D67549"/>
    <w:rsid w:val="00D73A73"/>
    <w:rsid w:val="00D81AE1"/>
    <w:rsid w:val="00D9239A"/>
    <w:rsid w:val="00DE55C1"/>
    <w:rsid w:val="00DF6183"/>
    <w:rsid w:val="00E036FA"/>
    <w:rsid w:val="00E15205"/>
    <w:rsid w:val="00E24B0C"/>
    <w:rsid w:val="00E30971"/>
    <w:rsid w:val="00E3130E"/>
    <w:rsid w:val="00E33EE7"/>
    <w:rsid w:val="00E43339"/>
    <w:rsid w:val="00E70D0D"/>
    <w:rsid w:val="00E8351A"/>
    <w:rsid w:val="00E92D5A"/>
    <w:rsid w:val="00EA2616"/>
    <w:rsid w:val="00EC4274"/>
    <w:rsid w:val="00ED01BD"/>
    <w:rsid w:val="00ED063C"/>
    <w:rsid w:val="00F00E55"/>
    <w:rsid w:val="00F0210B"/>
    <w:rsid w:val="00F17545"/>
    <w:rsid w:val="00F20F81"/>
    <w:rsid w:val="00F36048"/>
    <w:rsid w:val="00F42B4D"/>
    <w:rsid w:val="00F47C41"/>
    <w:rsid w:val="00F742F2"/>
    <w:rsid w:val="00F7655A"/>
    <w:rsid w:val="00F77F50"/>
    <w:rsid w:val="00F84E70"/>
    <w:rsid w:val="00F8608C"/>
    <w:rsid w:val="00FA2C80"/>
    <w:rsid w:val="00FC6C81"/>
    <w:rsid w:val="00FD6905"/>
    <w:rsid w:val="00FE5DA9"/>
    <w:rsid w:val="00FF5DF0"/>
    <w:rsid w:val="148CF11F"/>
    <w:rsid w:val="22DD6EA4"/>
    <w:rsid w:val="26062531"/>
    <w:rsid w:val="26DC1EF3"/>
    <w:rsid w:val="35FF3805"/>
    <w:rsid w:val="369E04D2"/>
    <w:rsid w:val="5010B1AF"/>
    <w:rsid w:val="556A9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5B21"/>
  <w15:docId w15:val="{21B8A116-29E2-406B-8B00-A7626C19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A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7AA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57AA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36B6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FA2"/>
    <w:rPr>
      <w:color w:val="00000A"/>
      <w:sz w:val="24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3FA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FA2"/>
    <w:rPr>
      <w:color w:val="00000A"/>
      <w:sz w:val="24"/>
      <w:szCs w:val="21"/>
    </w:rPr>
  </w:style>
  <w:style w:type="paragraph" w:styleId="Paragrafoelenco">
    <w:name w:val="List Paragraph"/>
    <w:basedOn w:val="Normale"/>
    <w:link w:val="ParagrafoelencoCarattere"/>
    <w:uiPriority w:val="34"/>
    <w:qFormat/>
    <w:rsid w:val="009E4D46"/>
    <w:pPr>
      <w:ind w:left="720"/>
      <w:contextualSpacing/>
    </w:pPr>
    <w:rPr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F17545"/>
    <w:rPr>
      <w:rFonts w:ascii="Times New Roman" w:eastAsia="Times New Roman" w:hAnsi="Times New Roman" w:cs="Times New Roman"/>
      <w:color w:val="auto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17545"/>
    <w:rPr>
      <w:rFonts w:ascii="Times New Roman" w:eastAsia="Times New Roman" w:hAnsi="Times New Roman" w:cs="Times New Roman"/>
      <w:kern w:val="0"/>
      <w:szCs w:val="20"/>
      <w:lang w:eastAsia="it-IT" w:bidi="ar-SA"/>
    </w:rPr>
  </w:style>
  <w:style w:type="character" w:styleId="Rimandonotaapidipagina">
    <w:name w:val="footnote reference"/>
    <w:semiHidden/>
    <w:rsid w:val="00F1754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175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754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7AA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7AA"/>
    <w:rPr>
      <w:rFonts w:ascii="Segoe UI" w:hAnsi="Segoe UI"/>
      <w:color w:val="00000A"/>
      <w:sz w:val="18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57AA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457AA"/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customStyle="1" w:styleId="ParagrafoelencoCarattere">
    <w:name w:val="Paragrafo elenco Carattere"/>
    <w:link w:val="Paragrafoelenco"/>
    <w:uiPriority w:val="34"/>
    <w:locked/>
    <w:rsid w:val="00C12105"/>
    <w:rPr>
      <w:color w:val="00000A"/>
      <w:sz w:val="24"/>
      <w:szCs w:val="21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36B6"/>
    <w:rPr>
      <w:rFonts w:asciiTheme="majorHAnsi" w:eastAsiaTheme="majorEastAsia" w:hAnsiTheme="majorHAnsi"/>
      <w:color w:val="1F3763" w:themeColor="accent1" w:themeShade="7F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6A7788BFC9D24095506E85BED7DCB9" ma:contentTypeVersion="4" ma:contentTypeDescription="Creare un nuovo documento." ma:contentTypeScope="" ma:versionID="258dbb8537f1c62d67d7646e00b1b082">
  <xsd:schema xmlns:xsd="http://www.w3.org/2001/XMLSchema" xmlns:xs="http://www.w3.org/2001/XMLSchema" xmlns:p="http://schemas.microsoft.com/office/2006/metadata/properties" xmlns:ns2="7a44818f-f594-4590-aef5-0043739dd1ad" targetNamespace="http://schemas.microsoft.com/office/2006/metadata/properties" ma:root="true" ma:fieldsID="f5f4801f690be0353bbad7f50306c773" ns2:_="">
    <xsd:import namespace="7a44818f-f594-4590-aef5-0043739dd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4818f-f594-4590-aef5-0043739d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15C00-80A8-4321-86D0-21171FEF2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BB1AE8-8267-4EBE-BF6B-985E5D81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44818f-f594-4590-aef5-0043739dd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43635-D27D-4FC5-99C3-532BA52880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C498E-C9F0-4BE1-BAAC-E469D09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Werther Iadanza</cp:lastModifiedBy>
  <cp:revision>10</cp:revision>
  <dcterms:created xsi:type="dcterms:W3CDTF">2020-06-11T10:01:00Z</dcterms:created>
  <dcterms:modified xsi:type="dcterms:W3CDTF">2020-11-17T15:20:00Z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0x0101006A6A7788BFC9D24095506E85BED7DCB9</vt:lpwstr>
  </property>
</Properties>
</file>